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83"/>
        <w:tblGridChange w:id="0">
          <w:tblGrid>
            <w:gridCol w:w="4323"/>
            <w:gridCol w:w="5283"/>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widowControl w:val="0"/>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04">
            <w:pPr>
              <w:widowControl w:val="0"/>
              <w:spacing w:line="276" w:lineRule="auto"/>
              <w:ind w:right="-108"/>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BUSINESS SALE NON-DISCLOSURE AND CONFIDENTIALITY AGREEMENT</w:t>
            </w:r>
          </w:p>
        </w:tc>
      </w:tr>
    </w:tbl>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0"/>
          <w:szCs w:val="20"/>
          <w:rtl w:val="0"/>
        </w:rPr>
        <w:t xml:space="preserve">This Business Sale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("Receiving Party")</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engaging in discussions related to the sale of the Disclosing Party’s business to the Receiving Party (the “Transaction”).</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2">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4">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5">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C">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D">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7F">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2">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9">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A">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B">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C">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E">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4">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7">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A">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B">
      <w:pPr>
        <w:jc w:val="left"/>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200025" cy="201558"/>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4FSJD8WxdzD6z650phwD3ULAN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aiIKFHN1Z2dlc3QuamQ3b3Rnd3dwd3JnEgpKdXN0aW4gTGVlaiIKFHN1Z2dlc3QubHl2bGpnbXN1ZnhzEgpKdXN0aW4gTGVlaiIKFHN1Z2dlc3QuZnA4Zmoyb3V3NWowEgpKdXN0aW4gTGVlaiIKFHN1Z2dlc3QuNmx6dHNnbWdna2pqEgpKdXN0aW4gTGVlciExbEFVSlNGVV9Gb0dHVmNwTmdLVUtSaXVNaldtdjFPM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