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428"/>
        <w:gridCol w:w="5102"/>
        <w:tblGridChange w:id="0">
          <w:tblGrid>
            <w:gridCol w:w="4428"/>
            <w:gridCol w:w="5102"/>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17"/>
                <w:szCs w:val="17"/>
                <w:rtl w:val="0"/>
              </w:rPr>
              <w:t xml:space="preserve">State of </w:t>
            </w:r>
            <w:r w:rsidDel="00000000" w:rsidR="00000000" w:rsidRPr="00000000">
              <w:rPr>
                <w:rFonts w:ascii="Arial" w:cs="Arial" w:eastAsia="Arial" w:hAnsi="Arial"/>
                <w:color w:val="000000"/>
                <w:sz w:val="17"/>
                <w:szCs w:val="17"/>
                <w:rtl w:val="0"/>
              </w:rPr>
              <w:t xml:space="preserve">______________</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16"/>
                <w:szCs w:val="16"/>
              </w:rPr>
            </w:pP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36"/>
                <w:szCs w:val="36"/>
                <w:rtl w:val="0"/>
              </w:rPr>
              <w:t xml:space="preserve">SALE OF A BUSINESS NON-COMPETE AGREEMENT</w:t>
            </w:r>
            <w:r w:rsidDel="00000000" w:rsidR="00000000" w:rsidRPr="00000000">
              <w:rPr>
                <w:rtl w:val="0"/>
              </w:rPr>
            </w:r>
          </w:p>
        </w:tc>
      </w:tr>
    </w:tbl>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Non-Compete (the "Agreement") is made as of this ______ day of _______________, 20______, (the “Effective Date”) by and between _______________________________ (“Seller”),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and ________________________ (“Buyer),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w:t>
        <w:br w:type="textWrapping"/>
        <w:br w:type="textWrapping"/>
        <w:t xml:space="preserve">WHEREAS, Seller has agreed to sell to Buyer the business known as ___________ [Business Name], and Buyer has agreed to purchase the business from Seller;</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WHEREAS, in connection with the sale of the business, Seller has agreed to refrain from competing with the business for a certain period of time as set forth herein;</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in consideration of the mutual covenants contained herein and for other good and valuable consideration, the receipt and sufficiency of which is hereby acknowledged, the parties agree as follows:</w:t>
        <w:br w:type="textWrapping"/>
        <w:br w:type="textWrapping"/>
      </w:r>
      <w:r w:rsidDel="00000000" w:rsidR="00000000" w:rsidRPr="00000000">
        <w:rPr>
          <w:rFonts w:ascii="Arial" w:cs="Arial" w:eastAsia="Arial" w:hAnsi="Arial"/>
          <w:b w:val="1"/>
          <w:sz w:val="20"/>
          <w:szCs w:val="20"/>
          <w:rtl w:val="0"/>
        </w:rPr>
        <w:t xml:space="preserve">1. Non-Competition.</w:t>
      </w:r>
      <w:r w:rsidDel="00000000" w:rsidR="00000000" w:rsidRPr="00000000">
        <w:rPr>
          <w:rFonts w:ascii="Arial" w:cs="Arial" w:eastAsia="Arial" w:hAnsi="Arial"/>
          <w:sz w:val="20"/>
          <w:szCs w:val="20"/>
          <w:rtl w:val="0"/>
        </w:rPr>
        <w:t xml:space="preserve"> Seller agrees and covenants for a period of __________ (Check one) ☐ months ☐ years after the Effective Date, Seller shall not directly or indirectly engage in any business that competes with the business sold, either as an individual, owner, majority shareholder, partner, director, consultant, agent, employee, co-partner, or in any other capacity that involves a business similar to the business sold, within a radius of _____ miles from any location of the sold business.</w:t>
        <w:br w:type="textWrapping"/>
        <w:br w:type="textWrapping"/>
      </w:r>
      <w:r w:rsidDel="00000000" w:rsidR="00000000" w:rsidRPr="00000000">
        <w:rPr>
          <w:rFonts w:ascii="Arial" w:cs="Arial" w:eastAsia="Arial" w:hAnsi="Arial"/>
          <w:b w:val="1"/>
          <w:sz w:val="20"/>
          <w:szCs w:val="20"/>
          <w:rtl w:val="0"/>
        </w:rPr>
        <w:t xml:space="preserve">2. Non-Solicit.</w:t>
      </w:r>
      <w:r w:rsidDel="00000000" w:rsidR="00000000" w:rsidRPr="00000000">
        <w:rPr>
          <w:rFonts w:ascii="Arial" w:cs="Arial" w:eastAsia="Arial" w:hAnsi="Arial"/>
          <w:sz w:val="20"/>
          <w:szCs w:val="20"/>
          <w:rtl w:val="0"/>
        </w:rPr>
        <w:t xml:space="preserve"> Seller agrees and covenants that for a period of __________ (Check one) ☐ months ☐ years after the Effective Date, Seller shall not directly or indirectly solicit any officer, director or employee, or any customer, client, supplier or vendor of Buyer for the purpose of inducing such party to terminate its relationship with Buyer in favor of Seller or another business directly or indirectly in competition with Buyer.</w:t>
        <w:br w:type="textWrapping"/>
        <w:br w:type="textWrapping"/>
      </w:r>
      <w:r w:rsidDel="00000000" w:rsidR="00000000" w:rsidRPr="00000000">
        <w:rPr>
          <w:rFonts w:ascii="Arial" w:cs="Arial" w:eastAsia="Arial" w:hAnsi="Arial"/>
          <w:b w:val="1"/>
          <w:sz w:val="20"/>
          <w:szCs w:val="20"/>
          <w:rtl w:val="0"/>
        </w:rPr>
        <w:t xml:space="preserve">3. Injunctive Relief. </w:t>
      </w:r>
      <w:r w:rsidDel="00000000" w:rsidR="00000000" w:rsidRPr="00000000">
        <w:rPr>
          <w:rFonts w:ascii="Arial" w:cs="Arial" w:eastAsia="Arial" w:hAnsi="Arial"/>
          <w:sz w:val="20"/>
          <w:szCs w:val="20"/>
          <w:rtl w:val="0"/>
        </w:rPr>
        <w:t xml:space="preserve">Seller acknowledges that any breach of the noncompetitive covenants will give rise to irreparable injury to the Buyer. Seller acknowledges that such injuries are not adequately compensable by damages and that injunctive relief against such breach is available as a legal remedy. Seller agrees that the covenants herein are necessary for the protection of the Buyer’s legitimate business interests.</w:t>
        <w:br w:type="textWrapping"/>
        <w:br w:type="textWrapping"/>
      </w:r>
      <w:r w:rsidDel="00000000" w:rsidR="00000000" w:rsidRPr="00000000">
        <w:rPr>
          <w:rFonts w:ascii="Arial" w:cs="Arial" w:eastAsia="Arial" w:hAnsi="Arial"/>
          <w:b w:val="1"/>
          <w:sz w:val="20"/>
          <w:szCs w:val="20"/>
          <w:rtl w:val="0"/>
        </w:rPr>
        <w:t xml:space="preserve">4. 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administrators, executors, successors and permitted assigns.</w:t>
        <w:br w:type="textWrapping"/>
        <w:br w:type="textWrapping"/>
      </w:r>
      <w:r w:rsidDel="00000000" w:rsidR="00000000" w:rsidRPr="00000000">
        <w:rPr>
          <w:rFonts w:ascii="Arial" w:cs="Arial" w:eastAsia="Arial" w:hAnsi="Arial"/>
          <w:b w:val="1"/>
          <w:sz w:val="20"/>
          <w:szCs w:val="20"/>
          <w:rtl w:val="0"/>
        </w:rPr>
        <w:t xml:space="preserve">5. Severability.  </w:t>
      </w:r>
      <w:r w:rsidDel="00000000" w:rsidR="00000000" w:rsidRPr="00000000">
        <w:rPr>
          <w:rFonts w:ascii="Arial" w:cs="Arial" w:eastAsia="Arial" w:hAnsi="Arial"/>
          <w:sz w:val="20"/>
          <w:szCs w:val="20"/>
          <w:rtl w:val="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br w:type="textWrapping"/>
        <w:br w:type="textWrapping"/>
      </w:r>
      <w:r w:rsidDel="00000000" w:rsidR="00000000" w:rsidRPr="00000000">
        <w:rPr>
          <w:rFonts w:ascii="Arial" w:cs="Arial" w:eastAsia="Arial" w:hAnsi="Arial"/>
          <w:b w:val="1"/>
          <w:sz w:val="20"/>
          <w:szCs w:val="20"/>
          <w:rtl w:val="0"/>
        </w:rPr>
        <w:t xml:space="preserve">6.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br w:type="textWrapping"/>
        <w:br w:type="textWrapping"/>
      </w:r>
      <w:r w:rsidDel="00000000" w:rsidR="00000000" w:rsidRPr="00000000">
        <w:rPr>
          <w:rFonts w:ascii="Arial" w:cs="Arial" w:eastAsia="Arial" w:hAnsi="Arial"/>
          <w:b w:val="1"/>
          <w:sz w:val="20"/>
          <w:szCs w:val="20"/>
          <w:rtl w:val="0"/>
        </w:rPr>
        <w:t xml:space="preserve">7.   Dispute Resolution.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0C">
      <w:pPr>
        <w:spacing w:line="276" w:lineRule="auto"/>
        <w:ind w:left="709" w:hanging="4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line="276" w:lineRule="auto"/>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Court Litigation.</w:t>
      </w:r>
      <w:r w:rsidDel="00000000" w:rsidR="00000000" w:rsidRPr="00000000">
        <w:rPr>
          <w:rFonts w:ascii="Arial" w:cs="Arial" w:eastAsia="Arial" w:hAnsi="Arial"/>
          <w:sz w:val="20"/>
          <w:szCs w:val="20"/>
          <w:rtl w:val="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000000" w:rsidDel="00000000" w:rsidP="00000000" w:rsidRDefault="00000000" w:rsidRPr="00000000" w14:paraId="0000000E">
      <w:pPr>
        <w:spacing w:line="276" w:lineRule="auto"/>
        <w:ind w:left="709" w:hanging="4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line="276" w:lineRule="auto"/>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Arbitration.</w:t>
      </w:r>
      <w:r w:rsidDel="00000000" w:rsidR="00000000" w:rsidRPr="00000000">
        <w:rPr>
          <w:rFonts w:ascii="Arial" w:cs="Arial" w:eastAsia="Arial" w:hAnsi="Arial"/>
          <w:sz w:val="20"/>
          <w:szCs w:val="20"/>
          <w:rtl w:val="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000000" w:rsidDel="00000000" w:rsidP="00000000" w:rsidRDefault="00000000" w:rsidRPr="00000000" w14:paraId="00000010">
      <w:pPr>
        <w:spacing w:line="276" w:lineRule="auto"/>
        <w:ind w:left="709"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 </w:t>
      </w:r>
    </w:p>
    <w:p w:rsidR="00000000" w:rsidDel="00000000" w:rsidP="00000000" w:rsidRDefault="00000000" w:rsidRPr="00000000" w14:paraId="00000012">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contains the entire understanding between the parties and supersedes and cancels all prior agreements of the parties, whether oral or written, with respect to such subject matter. </w:t>
      </w:r>
    </w:p>
    <w:p w:rsidR="00000000" w:rsidDel="00000000" w:rsidP="00000000" w:rsidRDefault="00000000" w:rsidRPr="00000000" w14:paraId="00000014">
      <w:pPr>
        <w:spacing w:line="276" w:lineRule="auto"/>
        <w:ind w:left="709" w:hanging="4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 </w:t>
      </w:r>
    </w:p>
    <w:p w:rsidR="00000000" w:rsidDel="00000000" w:rsidP="00000000" w:rsidRDefault="00000000" w:rsidRPr="00000000" w14:paraId="00000016">
      <w:pPr>
        <w:spacing w:line="276" w:lineRule="auto"/>
        <w:ind w:left="709" w:hanging="4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000000" w:rsidDel="00000000" w:rsidP="00000000" w:rsidRDefault="00000000" w:rsidRPr="00000000" w14:paraId="00000018">
      <w:pPr>
        <w:spacing w:line="276" w:lineRule="auto"/>
        <w:ind w:left="709" w:hanging="4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000000" w:rsidDel="00000000" w:rsidP="00000000" w:rsidRDefault="00000000" w:rsidRPr="00000000" w14:paraId="0000001A">
      <w:pPr>
        <w:spacing w:line="276" w:lineRule="auto"/>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r>
    </w:p>
    <w:tbl>
      <w:tblPr>
        <w:tblStyle w:val="Table2"/>
        <w:tblW w:w="8715.0" w:type="dxa"/>
        <w:jc w:val="center"/>
        <w:tblLayout w:type="fixed"/>
        <w:tblLook w:val="0400"/>
      </w:tblPr>
      <w:tblGrid>
        <w:gridCol w:w="3704"/>
        <w:gridCol w:w="1129"/>
        <w:gridCol w:w="3882"/>
        <w:tblGridChange w:id="0">
          <w:tblGrid>
            <w:gridCol w:w="3704"/>
            <w:gridCol w:w="1129"/>
            <w:gridCol w:w="3882"/>
          </w:tblGrid>
        </w:tblGridChange>
      </w:tblGrid>
      <w:tr>
        <w:trPr>
          <w:cantSplit w:val="0"/>
          <w:trHeight w:val="400" w:hRule="atLeast"/>
          <w:tblHeader w:val="0"/>
        </w:trPr>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1D">
            <w:pPr>
              <w:spacing w:line="276" w:lineRule="auto"/>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1E">
            <w:pPr>
              <w:spacing w:line="276" w:lineRule="auto"/>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1F">
            <w:pPr>
              <w:spacing w:line="276" w:lineRule="auto"/>
              <w:jc w:val="center"/>
              <w:rPr/>
            </w:pPr>
            <w:r w:rsidDel="00000000" w:rsidR="00000000" w:rsidRPr="00000000">
              <w:rPr>
                <w:rtl w:val="0"/>
              </w:rPr>
            </w:r>
          </w:p>
        </w:tc>
      </w:tr>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20">
            <w:pPr>
              <w:spacing w:line="276" w:lineRule="auto"/>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1">
            <w:pPr>
              <w:spacing w:line="276" w:lineRule="auto"/>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Name and Title</w:t>
            </w:r>
            <w:r w:rsidDel="00000000" w:rsidR="00000000" w:rsidRPr="00000000">
              <w:rPr>
                <w:rtl w:val="0"/>
              </w:rPr>
            </w:r>
          </w:p>
        </w:tc>
      </w:tr>
    </w:tbl>
    <w:p w:rsidR="00000000" w:rsidDel="00000000" w:rsidP="00000000" w:rsidRDefault="00000000" w:rsidRPr="00000000" w14:paraId="00000023">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tbl>
      <w:tblPr>
        <w:tblStyle w:val="Table3"/>
        <w:tblW w:w="8715.0" w:type="dxa"/>
        <w:jc w:val="center"/>
        <w:tblLayout w:type="fixed"/>
        <w:tblLook w:val="0400"/>
      </w:tblPr>
      <w:tblGrid>
        <w:gridCol w:w="3674"/>
        <w:gridCol w:w="1135"/>
        <w:gridCol w:w="3906"/>
        <w:tblGridChange w:id="0">
          <w:tblGrid>
            <w:gridCol w:w="3674"/>
            <w:gridCol w:w="1135"/>
            <w:gridCol w:w="3906"/>
          </w:tblGrid>
        </w:tblGridChange>
      </w:tblGrid>
      <w:tr>
        <w:trPr>
          <w:cantSplit w:val="0"/>
          <w:trHeight w:val="500" w:hRule="atLeast"/>
          <w:tblHeader w:val="0"/>
        </w:trPr>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24">
            <w:pPr>
              <w:spacing w:line="276" w:lineRule="auto"/>
              <w:rPr/>
            </w:pP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5">
            <w:pPr>
              <w:spacing w:line="276" w:lineRule="auto"/>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26">
            <w:pPr>
              <w:spacing w:line="276" w:lineRule="auto"/>
              <w:jc w:val="center"/>
              <w:rPr/>
            </w:pPr>
            <w:r w:rsidDel="00000000" w:rsidR="00000000" w:rsidRPr="00000000">
              <w:rPr>
                <w:rtl w:val="0"/>
              </w:rPr>
            </w:r>
          </w:p>
        </w:tc>
      </w:tr>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27">
            <w:pPr>
              <w:spacing w:line="276" w:lineRule="auto"/>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9">
            <w:pPr>
              <w:spacing w:line="276" w:lineRule="auto"/>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Name</w:t>
            </w:r>
            <w:r w:rsidDel="00000000" w:rsidR="00000000" w:rsidRPr="00000000">
              <w:rPr>
                <w:rtl w:val="0"/>
              </w:rPr>
            </w:r>
          </w:p>
        </w:tc>
      </w:tr>
    </w:tbl>
    <w:p w:rsidR="00000000" w:rsidDel="00000000" w:rsidP="00000000" w:rsidRDefault="00000000" w:rsidRPr="00000000" w14:paraId="0000002A">
      <w:pPr>
        <w:spacing w:line="276" w:lineRule="auto"/>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637C"/>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637C"/>
    <w:pPr>
      <w:tabs>
        <w:tab w:val="center" w:pos="4680"/>
        <w:tab w:val="right" w:pos="9360"/>
      </w:tabs>
    </w:pPr>
  </w:style>
  <w:style w:type="character" w:styleId="HeaderChar" w:customStyle="1">
    <w:name w:val="Header Char"/>
    <w:basedOn w:val="DefaultParagraphFont"/>
    <w:link w:val="Header"/>
    <w:uiPriority w:val="99"/>
    <w:rsid w:val="0022637C"/>
    <w:rPr>
      <w:rFonts w:ascii="Times New Roman" w:cs="Times New Roman" w:eastAsia="Times New Roman" w:hAnsi="Times New Roman"/>
    </w:rPr>
  </w:style>
  <w:style w:type="paragraph" w:styleId="Footer">
    <w:name w:val="footer"/>
    <w:basedOn w:val="Normal"/>
    <w:link w:val="FooterChar"/>
    <w:uiPriority w:val="99"/>
    <w:unhideWhenUsed w:val="1"/>
    <w:rsid w:val="0022637C"/>
    <w:pPr>
      <w:tabs>
        <w:tab w:val="center" w:pos="4680"/>
        <w:tab w:val="right" w:pos="9360"/>
      </w:tabs>
    </w:pPr>
  </w:style>
  <w:style w:type="character" w:styleId="FooterChar" w:customStyle="1">
    <w:name w:val="Footer Char"/>
    <w:basedOn w:val="DefaultParagraphFont"/>
    <w:link w:val="Footer"/>
    <w:uiPriority w:val="99"/>
    <w:rsid w:val="0022637C"/>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z+w0/a6th3dslwlbCa6Kvt1+gQ==">CgMxLjAyCGguZ2pkZ3hzOAByITFuYmxIOU1peXctUHZycUxTb1RJdV9EVGF4bmo3MVJFSQ==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2020-10-28T03:18:00Z</dcterms:created>
  <dc:creator>Amanda Lee</dc:creator>
</cp:coreProperties>
</file>