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40CE42F2"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40CE42F2"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5B83A0EB">
            <w:pPr>
              <w:spacing w:before="20" w:line="276" w:lineRule="auto"/>
              <w:ind w:right="-108"/>
              <w:jc w:val="center"/>
              <w:rPr>
                <w:rFonts w:ascii="Arial" w:hAnsi="Arial" w:eastAsia="Arial" w:cs="Arial"/>
                <w:sz w:val="44"/>
                <w:szCs w:val="44"/>
              </w:rPr>
            </w:pPr>
            <w:r w:rsidRPr="40CE42F2" w:rsidR="40CE42F2">
              <w:rPr>
                <w:rFonts w:ascii="Arial" w:hAnsi="Arial" w:eastAsia="Arial" w:cs="Arial"/>
                <w:b w:val="1"/>
                <w:bCs w:val="1"/>
                <w:sz w:val="44"/>
                <w:szCs w:val="44"/>
              </w:rPr>
              <w:t>SAN ANTONIO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40CE42F2"/>
    <w:rsid w:val="69705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3</revision>
  <dcterms:created xsi:type="dcterms:W3CDTF">2024-02-02T18:04:00.0000000Z</dcterms:created>
  <dcterms:modified xsi:type="dcterms:W3CDTF">2024-02-02T19:14:06.9859235Z</dcterms:modified>
</coreProperties>
</file>