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9"/>
        <w:gridCol w:w="5251"/>
        <w:tblGridChange w:id="0">
          <w:tblGrid>
            <w:gridCol w:w="4349"/>
            <w:gridCol w:w="525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Vermont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VERMONT 60-DAY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 IN: (Check one)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60 DAYS (if tenant has been living on the premises for 2 years or less)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90 DAYS (if tenant has been living on the premises for more than 2 years)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FROM THE DATE OF DELIVERY OF THIS NOTICE.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VERMONT STATUTES 9, CHAPTER 137, SECTION 4467.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Vermont,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133C7E1)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4EJINzhQflFiGuFJzZGEoi0NKA==">CgMxLjAyCGguZ2pkZ3hzMgloLjMwajB6bGw4AHIhMWpkX2dCOFBhTFpCTG1aSWRGSjRyczJNU2FjU0hVQlVl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