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44"/>
                <w:szCs w:val="44"/>
              </w:rPr>
            </w:pPr>
            <w:r w:rsidDel="00000000" w:rsidR="00000000" w:rsidRPr="00000000">
              <w:rPr>
                <w:rFonts w:ascii="Arial" w:cs="Arial" w:eastAsia="Arial" w:hAnsi="Arial"/>
                <w:b w:val="1"/>
                <w:sz w:val="36"/>
                <w:szCs w:val="36"/>
                <w:rtl w:val="0"/>
              </w:rPr>
              <w:t xml:space="preserve">VIRGINIA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VA Code § 64.2-1608 (2023).</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VA Code § 64.2-1608 (2023).</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 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r>
    </w:p>
    <w:p w:rsidR="00000000" w:rsidDel="00000000" w:rsidP="00000000" w:rsidRDefault="00000000" w:rsidRPr="00000000" w14:paraId="00000028">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tab/>
        <w:tab/>
        <w:t xml:space="preserve">(Seal, if any)</w:t>
      </w:r>
    </w:p>
    <w:p w:rsidR="00000000" w:rsidDel="00000000" w:rsidP="00000000" w:rsidRDefault="00000000" w:rsidRPr="00000000" w14:paraId="00000029">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2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3Zmjj40mn5vm1gsymCpgpHuEA==">CgMxLjA4AHIhMVhyTERId3hmSWVfYkRjeDFFQWRqRHA2a0w2VHg4emZ1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