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24.0" w:type="dxa"/>
        <w:jc w:val="center"/>
        <w:tblLayout w:type="fixed"/>
        <w:tblLook w:val="0400"/>
      </w:tblPr>
      <w:tblGrid>
        <w:gridCol w:w="4762"/>
        <w:gridCol w:w="4762"/>
        <w:tblGridChange w:id="0">
          <w:tblGrid>
            <w:gridCol w:w="4762"/>
            <w:gridCol w:w="4762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 of 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2"/>
            <w:tcBorders>
              <w:bottom w:color="000000" w:space="0" w:sz="10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44"/>
                <w:szCs w:val="44"/>
              </w:rPr>
            </w:pPr>
            <w:r w:rsidDel="00000000" w:rsidR="00000000" w:rsidRPr="00000000">
              <w:rPr>
                <w:b w:val="1"/>
                <w:bCs w:val="1"/>
                <w:sz w:val="44"/>
                <w:szCs w:val="44"/>
                <w:rtl w:val="0"/>
              </w:rPr>
              <w:t xml:space="preserve">LEASE RELEASE AGREEMENT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Lease Release Agreement (“Agreement”) is made on the ____ day of ____________, 20 (“Effective Date”), by and between: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Landlord:</w:t>
      </w:r>
      <w:r w:rsidDel="00000000" w:rsidR="00000000" w:rsidRPr="00000000">
        <w:rPr>
          <w:rtl w:val="0"/>
        </w:rPr>
        <w:t xml:space="preserve"> __________________________</w:t>
        <w:br w:type="textWrapping"/>
        <w:br w:type="textWrapping"/>
        <w:t xml:space="preserve">Address: 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Releasing Tenant:</w:t>
      </w:r>
      <w:r w:rsidDel="00000000" w:rsidR="00000000" w:rsidRPr="00000000">
        <w:rPr>
          <w:rtl w:val="0"/>
        </w:rPr>
        <w:t xml:space="preserve"> __________________________</w:t>
        <w:br w:type="textWrapping"/>
        <w:br w:type="textWrapping"/>
        <w:t xml:space="preserve">Address:__________________________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Remaining and/or Replacement Tenant(s) (if applicable):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Address: 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(Collectively, the “Parties.”)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aofbg73ofen0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LEASE IDENTIFICATION. </w:t>
      </w:r>
      <w:r w:rsidDel="00000000" w:rsidR="00000000" w:rsidRPr="00000000">
        <w:rPr>
          <w:sz w:val="22"/>
          <w:szCs w:val="22"/>
          <w:rtl w:val="0"/>
        </w:rPr>
        <w:t xml:space="preserve">This Agreement relates to that certain Lease Agreement dated ______________ (“Lease”), for the premises located at: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Premises: </w:t>
      </w:r>
      <w:r w:rsidDel="00000000" w:rsidR="00000000" w:rsidRPr="00000000">
        <w:rPr>
          <w:rtl w:val="0"/>
        </w:rPr>
        <w:t xml:space="preserve">______________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PURPOSE AND INTENT. </w:t>
      </w:r>
      <w:r w:rsidDel="00000000" w:rsidR="00000000" w:rsidRPr="00000000">
        <w:rPr>
          <w:rtl w:val="0"/>
        </w:rPr>
        <w:t xml:space="preserve">The purpose of this Agreement is to </w:t>
      </w:r>
      <w:r w:rsidDel="00000000" w:rsidR="00000000" w:rsidRPr="00000000">
        <w:rPr>
          <w:b w:val="1"/>
          <w:bCs w:val="1"/>
          <w:rtl w:val="0"/>
        </w:rPr>
        <w:t xml:space="preserve">fully and finally release the Releasing Tenant from liability under the Lease</w:t>
      </w:r>
      <w:r w:rsidDel="00000000" w:rsidR="00000000" w:rsidRPr="00000000">
        <w:rPr>
          <w:rtl w:val="0"/>
        </w:rPr>
        <w:t xml:space="preserve">, while preserving the Lease as to all other parties unless otherwise stated.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is intended to be legally binding and enforceable under applicable law.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3yiqesb2zf4f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EFFECTIVE RELEASE OF LIABILITY. </w:t>
      </w:r>
      <w:r w:rsidDel="00000000" w:rsidR="00000000" w:rsidRPr="00000000">
        <w:rPr>
          <w:sz w:val="22"/>
          <w:szCs w:val="22"/>
          <w:rtl w:val="0"/>
        </w:rPr>
        <w:t xml:space="preserve">Effective as of __________________ (“Release Date”), the Landlord irrevocably releases, acquits, and forever discharges the Releasing Tenant from: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Any and all future rent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Additional rent, fees, or charges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Maintenance, repair, or compliance obligations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Any liability or claim arising after the Release Date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vk6psneh5k5u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SURVIVAL OF PRIOR OBLIGATIONS. </w:t>
      </w:r>
      <w:r w:rsidDel="00000000" w:rsidR="00000000" w:rsidRPr="00000000">
        <w:rPr>
          <w:sz w:val="22"/>
          <w:szCs w:val="22"/>
          <w:rtl w:val="0"/>
        </w:rPr>
        <w:t xml:space="preserve">Notwithstanding the above, the Releasing Tenant remains liable for: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Any unpaid rent or fees accrued prior to the Release Date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Damage beyond normal wear and tear caused prior to the Release Date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Any breach of Lease occurring prior to the Release Date</w:t>
        <w:br w:type="textWrapping"/>
      </w:r>
    </w:p>
    <w:p w:rsidR="00000000" w:rsidDel="00000000" w:rsidP="00000000" w:rsidRDefault="00000000" w:rsidRPr="00000000" w14:paraId="0000001A">
      <w:pPr>
        <w:spacing w:after="24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(Check one)</w:t>
        <w:br w:type="textWrapping"/>
        <w:t xml:space="preserve">☐ All obligations satisfied</w:t>
        <w:br w:type="textWrapping"/>
        <w:t xml:space="preserve">☐ Outstanding balance: $__________ due by __________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lifagvgvn02m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ASSUMPTION BY REMAINING / NEW TENANT. </w:t>
      </w:r>
      <w:r w:rsidDel="00000000" w:rsidR="00000000" w:rsidRPr="00000000">
        <w:rPr>
          <w:sz w:val="22"/>
          <w:szCs w:val="22"/>
          <w:rtl w:val="0"/>
        </w:rPr>
        <w:t xml:space="preserve">Any remaining or replacement tenant(s) expressly: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Assume full responsibility for the Lease from the Release Date forward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Agree to be jointly and severally liable (if multiple tenants)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Accept all terms of the Lease without modification unless stated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r505wxerrbbh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SECURITY DEPOSIT DISPOSITION. </w:t>
      </w:r>
      <w:r w:rsidDel="00000000" w:rsidR="00000000" w:rsidRPr="00000000">
        <w:rPr>
          <w:sz w:val="22"/>
          <w:szCs w:val="22"/>
          <w:rtl w:val="0"/>
        </w:rPr>
        <w:t xml:space="preserve">The Parties agree: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(Check one)</w:t>
        <w:br w:type="textWrapping"/>
        <w:t xml:space="preserve">☐ Deposit remains with Landlord and is assigned to remaining/new tenant(s)</w:t>
        <w:br w:type="textWrapping"/>
        <w:t xml:space="preserve">☐ Landlord returns $__________ to Releasing Tenant</w:t>
        <w:br w:type="textWrapping"/>
        <w:t xml:space="preserve">☐ Deposit handled solely between tenants</w:t>
      </w:r>
    </w:p>
    <w:p w:rsidR="00000000" w:rsidDel="00000000" w:rsidP="00000000" w:rsidRDefault="00000000" w:rsidRPr="00000000" w14:paraId="0000002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handling and return of any security deposit shall comply with all applicable state laws, including required timelines and itemization of deductions.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h9ufrnyty0cs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7. SURRENDER (IF APPLICABLE). </w:t>
      </w:r>
      <w:r w:rsidDel="00000000" w:rsidR="00000000" w:rsidRPr="00000000">
        <w:rPr>
          <w:sz w:val="22"/>
          <w:szCs w:val="22"/>
          <w:rtl w:val="0"/>
        </w:rPr>
        <w:t xml:space="preserve">If vacating, the Releasing Tenant agrees: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To vacate by __________________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To return all keys, fobs, and access devices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To remove all personal property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To leave the Premises in broom-clean condition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abandoned property shall be handled per state law.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bn2v5v5yvojj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REPRESENTATIONS AND WARRANTIES. </w:t>
      </w:r>
      <w:r w:rsidDel="00000000" w:rsidR="00000000" w:rsidRPr="00000000">
        <w:rPr>
          <w:sz w:val="22"/>
          <w:szCs w:val="22"/>
          <w:rtl w:val="0"/>
        </w:rPr>
        <w:t xml:space="preserve">The Releasing Tenant represents: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They have not assigned or transferred their lease interest except as stated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☐ (Check if applicable) There are no undisclosed claims or disputes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☐ (Check if applicable) They have authority to enter into this Agreement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The condition of the Premises has been documented at move-out to determine any damages beyond normal wear and tear.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Landlord represents: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(Check if applicable) They have authority to release obligations under the Lease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q47hhmx7vuxb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9. MUTUAL GENERAL RELEASE. </w:t>
      </w:r>
      <w:r w:rsidDel="00000000" w:rsidR="00000000" w:rsidRPr="00000000">
        <w:rPr>
          <w:sz w:val="22"/>
          <w:szCs w:val="22"/>
          <w:rtl w:val="0"/>
        </w:rPr>
        <w:t xml:space="preserve">To the fullest extent permitted by </w:t>
      </w:r>
      <w:r w:rsidDel="00000000" w:rsidR="00000000" w:rsidRPr="00000000">
        <w:rPr>
          <w:sz w:val="22"/>
          <w:szCs w:val="22"/>
          <w:rtl w:val="0"/>
        </w:rPr>
        <w:t xml:space="preserve">applicable law, the Landlord and Releasing Tenant each release the other from any and all claims, demands, liabilities, damages, or causes of action, </w:t>
      </w:r>
      <w:r w:rsidDel="00000000" w:rsidR="00000000" w:rsidRPr="00000000">
        <w:rPr>
          <w:sz w:val="22"/>
          <w:szCs w:val="22"/>
          <w:rtl w:val="0"/>
        </w:rPr>
        <w:t xml:space="preserve">whether known or unknown, arising out of: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Lease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Occupancy of the Premises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Any prior dealings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Except obligations expressly preserved herein.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y7y0jqxm8o71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10. INDEMNIFICATION. </w:t>
      </w:r>
      <w:r w:rsidDel="00000000" w:rsidR="00000000" w:rsidRPr="00000000">
        <w:rPr>
          <w:sz w:val="22"/>
          <w:szCs w:val="22"/>
          <w:rtl w:val="0"/>
        </w:rPr>
        <w:t xml:space="preserve">The Releasing Tenant shall indemnify and hold harmless the Landlord from any claims arising from: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Acts or omissions prior to the Release Date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Any breach prior to the Release Date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Releasing Tenant shall indemnify the Landlord only for claims directly arising from the Releasing Tenant’s acts or omissions prior to the Release Date.</w:t>
      </w:r>
      <w:r w:rsidDel="00000000" w:rsidR="00000000" w:rsidRPr="00000000">
        <w:rPr>
          <w:rtl w:val="0"/>
        </w:rPr>
        <w:t xml:space="preserve"> Remaining/new tenants assume liability thereafter.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NO NOVATION. </w:t>
      </w:r>
      <w:r w:rsidDel="00000000" w:rsidR="00000000" w:rsidRPr="00000000">
        <w:rPr>
          <w:rtl w:val="0"/>
        </w:rPr>
        <w:t xml:space="preserve">This Agreement does not constitute a novation of the Lease unless expressly stated. The Lease remains binding on all non-released parties.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lp0s9j5me7ve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12. DEFAULT. </w:t>
      </w:r>
      <w:r w:rsidDel="00000000" w:rsidR="00000000" w:rsidRPr="00000000">
        <w:rPr>
          <w:sz w:val="22"/>
          <w:szCs w:val="22"/>
          <w:rtl w:val="0"/>
        </w:rPr>
        <w:t xml:space="preserve">If any Party breaches this Agreement: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non-breaching Party may pursue all remedies available at law or equity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This Agreement may be enforced as a contract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qkghlekup577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13. ATTORNEY’S FEES AND COSTS. </w:t>
      </w:r>
      <w:r w:rsidDel="00000000" w:rsidR="00000000" w:rsidRPr="00000000">
        <w:rPr>
          <w:sz w:val="22"/>
          <w:szCs w:val="22"/>
          <w:rtl w:val="0"/>
        </w:rPr>
        <w:t xml:space="preserve">In any dispute arising out of this Agreement, the prevailing Party shall be entitled to reasonable attorney’s fees and costs where permitted by law.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d4wt0hhn0jcf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14. NOTICES. </w:t>
      </w:r>
      <w:r w:rsidDel="00000000" w:rsidR="00000000" w:rsidRPr="00000000">
        <w:rPr>
          <w:sz w:val="22"/>
          <w:szCs w:val="22"/>
          <w:rtl w:val="0"/>
        </w:rPr>
        <w:t xml:space="preserve">All notices shall be in writing and delivered by: (Check if applicable)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☐ Personal delivery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☐ Certified or registered mail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☐ National overnight courier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Email, but only where permitted under applicable state law and where the receiving party has consented in writing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vhchyjsja9hd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15. COMPLIANCE WITH LAW. </w:t>
      </w:r>
      <w:r w:rsidDel="00000000" w:rsidR="00000000" w:rsidRPr="00000000">
        <w:rPr>
          <w:sz w:val="22"/>
          <w:szCs w:val="22"/>
          <w:rtl w:val="0"/>
        </w:rPr>
        <w:t xml:space="preserve">This Agreement is subject to any applicable federal, state, and/or local landlord-tenant laws, including laws governing security deposits, notice requirements, and enforceability of lease provisions. Where this Agreement conflicts with such laws, those laws shall control.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pj9um4ixaxj4" w:id="13"/>
      <w:bookmarkEnd w:id="1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16. GOVERNING LAW AND VENUE. </w:t>
      </w:r>
      <w:r w:rsidDel="00000000" w:rsidR="00000000" w:rsidRPr="00000000">
        <w:rPr>
          <w:sz w:val="22"/>
          <w:szCs w:val="22"/>
          <w:rtl w:val="0"/>
        </w:rPr>
        <w:t xml:space="preserve">This Agreement shall be governed by the laws of the State of __________________. Venue shall lie in the appropriate courts of that State.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v9pra9nvatu2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17. SEVERABILITY. </w:t>
      </w:r>
      <w:r w:rsidDel="00000000" w:rsidR="00000000" w:rsidRPr="00000000">
        <w:rPr>
          <w:sz w:val="22"/>
          <w:szCs w:val="22"/>
          <w:rtl w:val="0"/>
        </w:rPr>
        <w:t xml:space="preserve">If any provision is invalid or unenforceable, the remainder shall remain in effect.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7xbfg1g7542" w:id="15"/>
      <w:bookmarkEnd w:id="1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18. ENTIRE AGREEMENT. </w:t>
      </w:r>
      <w:r w:rsidDel="00000000" w:rsidR="00000000" w:rsidRPr="00000000">
        <w:rPr>
          <w:sz w:val="22"/>
          <w:szCs w:val="22"/>
          <w:rtl w:val="0"/>
        </w:rPr>
        <w:t xml:space="preserve">This Agreement constitutes the entire agreement and supersedes all prior negotiations or agreements.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chywdn3pybqt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19. AMENDMENTS. </w:t>
      </w:r>
      <w:r w:rsidDel="00000000" w:rsidR="00000000" w:rsidRPr="00000000">
        <w:rPr>
          <w:sz w:val="22"/>
          <w:szCs w:val="22"/>
          <w:rtl w:val="0"/>
        </w:rPr>
        <w:t xml:space="preserve">This Agreement may only be modified by a written document signed by all Parties.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afe2a245697v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20. COUNTERPARTS AND ELECTRONIC SIGNATURES. </w:t>
      </w:r>
      <w:r w:rsidDel="00000000" w:rsidR="00000000" w:rsidRPr="00000000">
        <w:rPr>
          <w:sz w:val="22"/>
          <w:szCs w:val="22"/>
          <w:rtl w:val="0"/>
        </w:rPr>
        <w:t xml:space="preserve">This Agreement may be executed in counterparts and via electronic signature in accordance with the ESIGN Act and UETA.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heading=h.4bvgk4ms61li" w:id="18"/>
      <w:bookmarkEnd w:id="1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21. VOLUNTARY EXECUTION. </w:t>
      </w:r>
      <w:r w:rsidDel="00000000" w:rsidR="00000000" w:rsidRPr="00000000">
        <w:rPr>
          <w:sz w:val="22"/>
          <w:szCs w:val="22"/>
          <w:rtl w:val="0"/>
        </w:rPr>
        <w:t xml:space="preserve">Each Party acknowledges: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They have read and understood this Agreement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They had the opportunity to consult legal counsel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They enter into this Agreement voluntarily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 Page(s) to Follow</w:t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465a7q41f75z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ptes18uhy6x3" w:id="20"/>
      <w:bookmarkEnd w:id="2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SIGNATURES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Signature of Landlord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Printed Name of Landlord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Signature of Releasing Tenant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Printed Name of Releasing Tenant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Signature of Remaining/Replacement Tenant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Date (if applicable)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Printed Name of Remaining/Replacement Tenant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heading=h.jy7rmsbh1oik" w:id="21"/>
      <w:bookmarkEnd w:id="2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rPr>
          <w:b w:val="1"/>
          <w:bCs w:val="1"/>
          <w:sz w:val="22"/>
          <w:szCs w:val="22"/>
        </w:rPr>
      </w:pPr>
      <w:bookmarkStart w:colFirst="0" w:colLast="0" w:name="_heading=h.86jexg9rr6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qy7lra4x20qj" w:id="23"/>
      <w:bookmarkEnd w:id="2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WITNESSES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Witness 1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Witness 1 Printed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Witness 2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15.0" w:type="dxa"/>
        <w:tblLayout w:type="fixed"/>
        <w:tblLook w:val="0400"/>
      </w:tblPr>
      <w:tblGrid>
        <w:gridCol w:w="4344"/>
        <w:gridCol w:w="672"/>
        <w:gridCol w:w="4344"/>
        <w:tblGridChange w:id="0">
          <w:tblGrid>
            <w:gridCol w:w="4344"/>
            <w:gridCol w:w="672"/>
            <w:gridCol w:w="434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Witness 2 Printed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3tdmdn6ye2q0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yf2udtz8cgws" w:id="25"/>
      <w:bookmarkEnd w:id="2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NOTARY ACKNOWLEDGMENT</w:t>
        <w:br w:type="textWrapping"/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State of ____________________ )</w:t>
        <w:br w:type="textWrapping"/>
        <w:t xml:space="preserve">                                                            ) ss:</w:t>
        <w:br w:type="textWrapping"/>
        <w:t xml:space="preserve">County of __________________ )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this ____ day of ____________</w:t>
      </w:r>
      <w:r w:rsidDel="00000000" w:rsidR="00000000" w:rsidRPr="00000000">
        <w:rPr>
          <w:b w:val="1"/>
          <w:bCs w:val="1"/>
          <w:rtl w:val="0"/>
        </w:rPr>
        <w:t xml:space="preserve">, 20</w:t>
      </w:r>
      <w:r w:rsidDel="00000000" w:rsidR="00000000" w:rsidRPr="00000000">
        <w:rPr>
          <w:rtl w:val="0"/>
        </w:rPr>
        <w:t xml:space="preserve">, before me personally appeared ____________________________, known or proven to me to be the person(s) whose name(s) are subscribed to this instrument.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5016.0" w:type="dxa"/>
        <w:jc w:val="left"/>
        <w:tblInd w:w="15.0" w:type="dxa"/>
        <w:tblLayout w:type="fixed"/>
        <w:tblLook w:val="0400"/>
      </w:tblPr>
      <w:tblGrid>
        <w:gridCol w:w="4344"/>
        <w:gridCol w:w="672"/>
        <w:tblGridChange w:id="0">
          <w:tblGrid>
            <w:gridCol w:w="4344"/>
            <w:gridCol w:w="6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.978515625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Notary Public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Commission Expires: _______________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90500" cy="190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mfV3Qe8juBZ234rnjiByrHsDQ==">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