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Oklahom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KLAHOM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