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Caroli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SOUTH CAROLINA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